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F5CE0B">
      <w:pPr>
        <w:pStyle w:val="2"/>
        <w:bidi w:val="0"/>
        <w:jc w:val="center"/>
        <w:rPr>
          <w:rFonts w:hint="eastAsia"/>
          <w:lang w:val="en-US" w:eastAsia="zh-CN"/>
        </w:rPr>
      </w:pPr>
      <w:r>
        <w:rPr>
          <w:rFonts w:hint="eastAsia"/>
          <w:lang w:val="en-US" w:eastAsia="zh-CN"/>
        </w:rPr>
        <w:t>服务需求</w:t>
      </w:r>
    </w:p>
    <w:p w14:paraId="240228DA">
      <w:pPr>
        <w:pStyle w:val="3"/>
        <w:bidi w:val="0"/>
        <w:rPr>
          <w:rFonts w:hint="eastAsia"/>
          <w:lang w:val="en-US" w:eastAsia="zh-CN"/>
        </w:rPr>
      </w:pPr>
      <w:r>
        <w:rPr>
          <w:rFonts w:hint="eastAsia"/>
          <w:lang w:val="en-US" w:eastAsia="zh-CN"/>
        </w:rPr>
        <w:t>一、审计范围</w:t>
      </w:r>
    </w:p>
    <w:p w14:paraId="1B4C24C7">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本次能源审计范围为临桂院区全部建筑及附属设施，包括但不限于门诊楼、住院楼、医技楼、行政办公楼等所有纳入本院统一核算的建筑物及用能情况。</w:t>
      </w:r>
    </w:p>
    <w:p w14:paraId="229B7B6D">
      <w:pPr>
        <w:pStyle w:val="3"/>
        <w:bidi w:val="0"/>
        <w:rPr>
          <w:rFonts w:hint="eastAsia"/>
          <w:b/>
          <w:lang w:val="en-US" w:eastAsia="zh-CN"/>
        </w:rPr>
      </w:pPr>
      <w:r>
        <w:rPr>
          <w:rFonts w:hint="eastAsia"/>
          <w:b/>
          <w:lang w:val="en-US" w:eastAsia="zh-CN"/>
        </w:rPr>
        <w:t>二、审计主要内容</w:t>
      </w:r>
    </w:p>
    <w:p w14:paraId="251EE18E">
      <w:pPr>
        <w:spacing w:line="560" w:lineRule="exact"/>
        <w:ind w:left="0" w:leftChars="0" w:firstLine="525" w:firstLineChars="175"/>
        <w:rPr>
          <w:rFonts w:hint="default"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1、审计依据：</w:t>
      </w:r>
    </w:p>
    <w:p w14:paraId="63137DB1">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本项目参考或依据以下标准及文件执行：</w:t>
      </w:r>
    </w:p>
    <w:p w14:paraId="7632841B">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《公共机构能源审计管理暂行办法》</w:t>
      </w:r>
    </w:p>
    <w:p w14:paraId="34454542">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《公共机构能源审计技术导则》（GB/T 31342-2014）</w:t>
      </w:r>
    </w:p>
    <w:p w14:paraId="497BE5C6">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《公共机构能耗定额》（DB45/T 2360-2021）</w:t>
      </w:r>
    </w:p>
    <w:p w14:paraId="5AEA2547">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《城镇生活用水定额》（DB45T 679-2023）</w:t>
      </w:r>
    </w:p>
    <w:p w14:paraId="263BD859">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国家及地方相关节能法律法规</w:t>
      </w:r>
    </w:p>
    <w:p w14:paraId="489EDC5D">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2、审计方式：</w:t>
      </w:r>
    </w:p>
    <w:p w14:paraId="4902E94E">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（一）采用二级能源审计方式进行，重点掌握医院整体用能情况，分析总能耗及分项能耗（水、电、燃气、空调、照明等），对建筑围护结构、主要用能系统进行节能诊断，并进行节能量和经济性分析。</w:t>
      </w:r>
    </w:p>
    <w:p w14:paraId="2C65C5A6">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（1）单位概况</w:t>
      </w:r>
    </w:p>
    <w:p w14:paraId="21D978AE">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单位基本情况、建筑物概况、能源资源利用总体情况，以及主要能源资源利用系统情况。</w:t>
      </w:r>
    </w:p>
    <w:p w14:paraId="064D365C">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（2）能源资源管理状况</w:t>
      </w:r>
    </w:p>
    <w:p w14:paraId="7AEC386D">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审阅单位能源管理文件，核查单位能源资源管理的机构及职责、制度建设及执行情况、能源资源管理的成效与问题。</w:t>
      </w:r>
    </w:p>
    <w:p w14:paraId="683D7F13">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（3）能源资源计量及统计状况</w:t>
      </w:r>
    </w:p>
    <w:p w14:paraId="64406E67">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审计能源计量范围、计量器具的配置、计量器具的管理、能源资源统计的内容和数据汇总计算等，基于审计过程中收集的信息，对单位向公共机构能源资源消费统计信息系统填报的数据进行校核更新，说明单位能源资源计量体系成效与问题。</w:t>
      </w:r>
    </w:p>
    <w:p w14:paraId="69C31E59">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（4）能源资源消费指标计算分析</w:t>
      </w:r>
    </w:p>
    <w:p w14:paraId="732A9FD7">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审计单位能源资源消费的种类、来源及其流向，能源资源消费指标的构成与定义，计算数据来源，指标计算结果分析。按能源资源种类分析单位基准期至审计期各年度、月度实物消费量，分析单位能源资源消费年度变化趋势、季节变化因素和特点；计算、分析建筑总能耗，将建筑能源消耗量统一折算为标准煤耗量，计算单位建筑面积能耗、人均能耗、人均水资源消耗等能源资源消费指标，并依据《公共机构能耗定额》（DB45/T 2360-2021）、《城镇生活用水定额》（DB45T 679—2023）进行对标。</w:t>
      </w:r>
    </w:p>
    <w:p w14:paraId="1F8F115F">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（5）建筑及主要能源资源利用系统分析</w:t>
      </w:r>
    </w:p>
    <w:p w14:paraId="1AF77403">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审计单位主要能源资源利用系统构成、设备配置与运行情况，根据现场测试情况，分析系统存在问题。审计范围包括但不限于：建筑围护结构、供暖系统、空调系统、供配电系统、照明系统、用水系统、热水系统以及电梯、食堂、信息机房等其他附属设施用能系统。</w:t>
      </w:r>
    </w:p>
    <w:p w14:paraId="6F0FA69E">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（6）绿色发展专项检查</w:t>
      </w:r>
    </w:p>
    <w:p w14:paraId="32387566">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对自然采光、空调温度设置、绿色采购、无纸化办公、公务车等行为节约情况进行检查；对生活垃圾分类、再生用品使用、塑料污染治理、通用资产周转等资源循环利用情况进行检查。</w:t>
      </w:r>
    </w:p>
    <w:p w14:paraId="33D5D792">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（7）节能效果与节能潜力分析</w:t>
      </w:r>
    </w:p>
    <w:p w14:paraId="488453ED">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审计单位实施节能技改项目已取得的成效，对单位基准期至审计期内完成的节能技改项目进行汇总分析，核算节能技改项目已取得的效果（节能量、减排指标）。确定比较基准值，计算单位审计期的节能量和节能率，并对单位节能指标的分解、完成情况进行对比分析。分析节能途径与潜力，提出节能改造建议方案。结合单位能源资源消费情况、能源资源利用系统存在问题，全面分析单位可利用能源资源基础条件，测算单位节能潜力，并从管理、技术两个途径提出合理的节能改造建议方案，侧重从技术途经，对单位的空调、照明系统等提出有针对性和可行性的专业节能改造建议。</w:t>
      </w:r>
    </w:p>
    <w:p w14:paraId="213E36F9">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（8）编制能源审计报告</w:t>
      </w:r>
    </w:p>
    <w:p w14:paraId="5EDCBF40">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能源审计报告应符合《公共机构能源审计技术导则》（GB/T 31342-2014）要求，报告除常规内容外，可针对单位能耗占比较大的空调系统、照明系统等提出专项改造方案。能源审计服务机构形成的能源审计报告应当书面征求单位意见，单位应当自接到能源审计报告之日起10个工作日内，提出书面意见；能源审计服务机构要进一步核实情况，对审计报告做相应修改，送达采购人。</w:t>
      </w:r>
    </w:p>
    <w:p w14:paraId="07F7E44A">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（二）能源审计工作要求：</w:t>
      </w:r>
    </w:p>
    <w:p w14:paraId="0DB0298E">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（1）审计周期：本次能源审计数据采集范围为近2个连续年度，即2024年10月—2026年9月。</w:t>
      </w:r>
    </w:p>
    <w:p w14:paraId="61DC26B0">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（2）审计深度要求：掌握单位用能</w:t>
      </w:r>
      <w:bookmarkStart w:id="0" w:name="_GoBack"/>
      <w:bookmarkEnd w:id="0"/>
      <w:r>
        <w:rPr>
          <w:rFonts w:hint="eastAsia" w:ascii="仿宋" w:hAnsi="仿宋" w:eastAsia="仿宋" w:cstheme="minorBidi"/>
          <w:kern w:val="2"/>
          <w:sz w:val="30"/>
          <w:szCs w:val="30"/>
          <w:lang w:val="en-US" w:eastAsia="zh-CN" w:bidi="ar-SA"/>
        </w:rPr>
        <w:t>总体情况，分析总能耗及供暖、空调、照明插座、动力等分项能耗，对建筑围护结构、主要用能系统进行节能诊断，并进行节能量和经济性分析。</w:t>
      </w:r>
    </w:p>
    <w:p w14:paraId="12CCE180">
      <w:pPr>
        <w:spacing w:line="560" w:lineRule="exact"/>
        <w:ind w:left="0" w:leftChars="0" w:firstLine="527" w:firstLineChars="175"/>
        <w:rPr>
          <w:rFonts w:hint="eastAsia" w:ascii="仿宋" w:hAnsi="仿宋" w:eastAsia="仿宋" w:cstheme="minorBidi"/>
          <w:b/>
          <w:bCs/>
          <w:kern w:val="2"/>
          <w:sz w:val="30"/>
          <w:szCs w:val="30"/>
          <w:lang w:val="en-US" w:eastAsia="zh-CN" w:bidi="ar-SA"/>
        </w:rPr>
      </w:pPr>
      <w:r>
        <w:rPr>
          <w:rFonts w:hint="eastAsia" w:ascii="仿宋" w:hAnsi="仿宋" w:eastAsia="仿宋" w:cstheme="minorBidi"/>
          <w:b/>
          <w:bCs/>
          <w:kern w:val="2"/>
          <w:sz w:val="30"/>
          <w:szCs w:val="30"/>
          <w:lang w:val="en-US" w:eastAsia="zh-CN" w:bidi="ar-SA"/>
        </w:rPr>
        <w:t>（3）能耗数据分析要求：协助医院确定能耗基准值及能源托管方案，分析审计期内项目各项能源资源消耗数据。提供节能改造投资估算及经济性分析。</w:t>
      </w:r>
    </w:p>
    <w:p w14:paraId="5AB631C4">
      <w:pPr>
        <w:spacing w:line="560" w:lineRule="exact"/>
        <w:ind w:left="0" w:leftChars="0" w:firstLine="527" w:firstLineChars="175"/>
        <w:rPr>
          <w:rFonts w:hint="eastAsia" w:ascii="仿宋" w:hAnsi="仿宋" w:eastAsia="仿宋" w:cstheme="minorBidi"/>
          <w:b/>
          <w:bCs/>
          <w:kern w:val="2"/>
          <w:sz w:val="30"/>
          <w:szCs w:val="30"/>
          <w:lang w:val="en-US" w:eastAsia="zh-CN" w:bidi="ar-SA"/>
        </w:rPr>
      </w:pPr>
      <w:r>
        <w:rPr>
          <w:rFonts w:hint="eastAsia" w:ascii="仿宋" w:hAnsi="仿宋" w:eastAsia="仿宋" w:cstheme="minorBidi"/>
          <w:b/>
          <w:bCs/>
          <w:kern w:val="2"/>
          <w:sz w:val="30"/>
          <w:szCs w:val="30"/>
          <w:lang w:val="en-US" w:eastAsia="zh-CN" w:bidi="ar-SA"/>
        </w:rPr>
        <w:t>（4）确定医院能耗基准值，提出能源托管基准建议、节能改造方向等。</w:t>
      </w:r>
    </w:p>
    <w:p w14:paraId="04239CD4">
      <w:pPr>
        <w:spacing w:line="560" w:lineRule="exact"/>
        <w:ind w:left="0" w:leftChars="0" w:firstLine="527" w:firstLineChars="175"/>
        <w:rPr>
          <w:rFonts w:hint="eastAsia" w:ascii="仿宋" w:hAnsi="仿宋" w:eastAsia="仿宋" w:cstheme="minorBidi"/>
          <w:b/>
          <w:bCs/>
          <w:kern w:val="2"/>
          <w:sz w:val="30"/>
          <w:szCs w:val="30"/>
          <w:lang w:val="en-US" w:eastAsia="zh-CN" w:bidi="ar-SA"/>
        </w:rPr>
      </w:pPr>
      <w:r>
        <w:rPr>
          <w:rFonts w:hint="eastAsia" w:ascii="仿宋" w:hAnsi="仿宋" w:eastAsia="仿宋" w:cstheme="minorBidi"/>
          <w:b/>
          <w:bCs/>
          <w:kern w:val="2"/>
          <w:sz w:val="30"/>
          <w:szCs w:val="30"/>
          <w:lang w:val="en-US" w:eastAsia="zh-CN" w:bidi="ar-SA"/>
        </w:rPr>
        <w:t>（5）梳理医院现有机电系统日常运维现状，确定医院日常运维范围并核定运维基准费用，厘清能源托管可覆盖的运维边界，明确纳入及不纳入托管的设备、系统与服务内容，形成可供能源托管招标使用的运维范围清单及运维基准费用测算说明，同时开展驻场运维人员配置方案审查，完成驻场运维人员相关费用审核工作。</w:t>
      </w:r>
    </w:p>
    <w:p w14:paraId="74DAB47F">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（6）开展审计过程中，应依照规定组织开展审计工作。</w:t>
      </w:r>
    </w:p>
    <w:p w14:paraId="74BAA447">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（7）交付标准为满足相应的法律法规标准规范要求。报告装订打印纸质提交，并附电子材料。</w:t>
      </w:r>
    </w:p>
    <w:p w14:paraId="764A3547">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（8）配合医院进行节能项目申报或资金申请。（如有）</w:t>
      </w:r>
    </w:p>
    <w:p w14:paraId="1355F04B">
      <w:pPr>
        <w:spacing w:line="560" w:lineRule="exact"/>
        <w:ind w:left="0" w:leftChars="0" w:firstLine="525" w:firstLineChars="175"/>
        <w:rPr>
          <w:rFonts w:hint="eastAsia" w:ascii="仿宋" w:hAnsi="仿宋" w:eastAsia="仿宋" w:cstheme="minorBidi"/>
          <w:kern w:val="2"/>
          <w:sz w:val="30"/>
          <w:szCs w:val="30"/>
          <w:lang w:val="en-US" w:eastAsia="zh-CN" w:bidi="ar-SA"/>
        </w:rPr>
      </w:pPr>
      <w:r>
        <w:rPr>
          <w:rFonts w:hint="eastAsia" w:ascii="仿宋" w:hAnsi="仿宋" w:eastAsia="仿宋" w:cstheme="minorBidi"/>
          <w:kern w:val="2"/>
          <w:sz w:val="30"/>
          <w:szCs w:val="30"/>
          <w:lang w:val="en-US" w:eastAsia="zh-CN" w:bidi="ar-SA"/>
        </w:rPr>
        <w:t>3、项目完成时间：审计服务期限为从合同签订之日起至出具审计报告，移交全部审计资料至采购人为止，40天完成审计工作。</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9B47C5"/>
    <w:rsid w:val="059B47C5"/>
    <w:rsid w:val="4292190E"/>
    <w:rsid w:val="4EED3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808</Words>
  <Characters>824</Characters>
  <Lines>0</Lines>
  <Paragraphs>0</Paragraphs>
  <TotalTime>21</TotalTime>
  <ScaleCrop>false</ScaleCrop>
  <LinksUpToDate>false</LinksUpToDate>
  <CharactersWithSpaces>825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2026-09-16T08:01:00Z</dcterms:created>
  <dc:creator>WPS_1466065834</dc:creator>
  <cp:lastModifiedBy>WPS_1466065834</cp:lastModifiedBy>
  <dcterms:modified xsi:type="dcterms:W3CDTF">2026-09-28T03:42:12Z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1C80DFC8B7B842D4936BAE3D1C4395E7_11</vt:lpwstr>
  </property>
  <property fmtid="{D5CDD505-2E9C-101B-9397-08002B2CF9AE}" pid="4" name="KSOTemplateDocerSaveRecord">
    <vt:lpwstr>eyJoZGlkIjoiM2IzZjBkNmYxMWEzNTU0NWZmYjc3MTZjMzA1ZjI5NmQiLCJ1c2VySWQiOiIyMjE5NjY4MDIifQ==</vt:lpwstr>
  </property>
</Properties>
</file>